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78D17E">
      <w:pPr>
        <w:spacing w:line="240" w:lineRule="auto"/>
        <w:rPr>
          <w:rFonts w:ascii="Times New Roman" w:hAnsi="Times New Roman" w:eastAsia="宋体"/>
          <w:b/>
          <w:bCs/>
          <w:sz w:val="22"/>
          <w:szCs w:val="22"/>
        </w:rPr>
      </w:pPr>
      <w:r>
        <w:rPr>
          <w:rFonts w:ascii="Times New Roman" w:hAnsi="Times New Roman" w:eastAsia="宋体"/>
          <w:b/>
          <w:bCs/>
          <w:sz w:val="22"/>
          <w:szCs w:val="22"/>
        </w:rPr>
        <w:t>Supplementary Information</w:t>
      </w:r>
    </w:p>
    <w:p w14:paraId="66824B10">
      <w:pPr>
        <w:spacing w:line="24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b/>
          <w:bCs/>
          <w:sz w:val="22"/>
          <w:szCs w:val="22"/>
        </w:rPr>
        <w:t>Additional file 1: Table S1.</w:t>
      </w:r>
      <w:r>
        <w:rPr>
          <w:rFonts w:ascii="Times New Roman" w:hAnsi="Times New Roman" w:eastAsia="宋体"/>
          <w:sz w:val="22"/>
          <w:szCs w:val="22"/>
        </w:rPr>
        <w:t xml:space="preserve"> A total of 1182 exist miRNAs were identified in plasma exosome from normal control pregnant and patients with preeclampsia.</w:t>
      </w:r>
    </w:p>
    <w:p w14:paraId="6BB47AC2">
      <w:pPr>
        <w:spacing w:line="24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b/>
          <w:bCs/>
          <w:sz w:val="22"/>
          <w:szCs w:val="22"/>
        </w:rPr>
        <w:t xml:space="preserve">Additional file 2: Table S2. </w:t>
      </w:r>
      <w:r>
        <w:rPr>
          <w:rFonts w:ascii="Times New Roman" w:hAnsi="Times New Roman" w:eastAsia="宋体"/>
          <w:sz w:val="22"/>
          <w:szCs w:val="22"/>
        </w:rPr>
        <w:t>68 DEMs in plasma exosome between NC group and PE group.</w:t>
      </w:r>
    </w:p>
    <w:p w14:paraId="37E9B8EC">
      <w:pPr>
        <w:spacing w:line="24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b/>
          <w:bCs/>
          <w:sz w:val="22"/>
          <w:szCs w:val="22"/>
        </w:rPr>
        <w:t>Additional file 3: Figure S1.</w:t>
      </w:r>
      <w:r>
        <w:rPr>
          <w:rFonts w:ascii="Times New Roman" w:hAnsi="Times New Roman" w:eastAsia="宋体"/>
          <w:sz w:val="22"/>
          <w:szCs w:val="22"/>
        </w:rPr>
        <w:t xml:space="preserve"> GO analysis showed that the enrichment in molecular function </w:t>
      </w:r>
      <w:r>
        <w:rPr>
          <w:rFonts w:ascii="Times New Roman" w:hAnsi="Times New Roman" w:eastAsia="宋体"/>
          <w:b/>
          <w:bCs/>
          <w:sz w:val="22"/>
          <w:szCs w:val="22"/>
        </w:rPr>
        <w:t>(A)</w:t>
      </w:r>
      <w:r>
        <w:rPr>
          <w:rFonts w:ascii="Times New Roman" w:hAnsi="Times New Roman" w:eastAsia="宋体"/>
          <w:sz w:val="22"/>
          <w:szCs w:val="22"/>
        </w:rPr>
        <w:t xml:space="preserve"> and cellular component </w:t>
      </w:r>
      <w:r>
        <w:rPr>
          <w:rFonts w:ascii="Times New Roman" w:hAnsi="Times New Roman" w:eastAsia="宋体"/>
          <w:b/>
          <w:bCs/>
          <w:sz w:val="22"/>
          <w:szCs w:val="22"/>
        </w:rPr>
        <w:t>(B)</w:t>
      </w:r>
      <w:r>
        <w:rPr>
          <w:rFonts w:ascii="Times New Roman" w:hAnsi="Times New Roman" w:eastAsia="宋体"/>
          <w:sz w:val="22"/>
          <w:szCs w:val="22"/>
        </w:rPr>
        <w:t xml:space="preserve"> from differentially expressed miRNAs.</w:t>
      </w:r>
    </w:p>
    <w:p w14:paraId="7C613AB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413F0B"/>
    <w:rsid w:val="2C41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2026-04-02T12:49:00Z</dcterms:created>
  <dc:creator>夏卿</dc:creator>
  <cp:lastModifiedBy>夏卿</cp:lastModifiedBy>
  <dcterms:modified xsi:type="dcterms:W3CDTF">2026-04-02T12:49:26Z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56324A3D431A42148D819253BD67CCCD_11</vt:lpwstr>
  </property>
  <property fmtid="{D5CDD505-2E9C-101B-9397-08002B2CF9AE}" pid="4" name="KSOTemplateDocerSaveRecord">
    <vt:lpwstr>eyJoZGlkIjoiZWUyYmFmYzVlMWE5YmRhNTU2MTdjOWNjYzg3MTUzOGUiLCJ1c2VySWQiOiI0MzA3MzI2MDUifQ==</vt:lpwstr>
  </property>
</Properties>
</file>